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left"/>
        <w:rPr>
          <w:rFonts w:ascii="黑体" w:eastAsia="黑体" w:hint="eastAsia"/>
          <w:color w:val="000000"/>
          <w:sz w:val="32"/>
          <w:szCs w:val="32"/>
        </w:rPr>
      </w:pPr>
      <w:r>
        <w:rPr>
          <w:rFonts w:ascii="黑体" w:eastAsia="黑体" w:hint="eastAsia"/>
          <w:color w:val="000000"/>
          <w:sz w:val="32"/>
          <w:szCs w:val="32"/>
        </w:rPr>
        <w:t>附件</w:t>
      </w:r>
      <w:r>
        <w:rPr>
          <w:rFonts w:ascii="黑体" w:eastAsia="黑体"/>
          <w:color w:val="000000"/>
          <w:sz w:val="32"/>
          <w:szCs w:val="32"/>
        </w:rPr>
        <w:t>5</w:t>
      </w:r>
    </w:p>
    <w:p>
      <w:pPr>
        <w:snapToGrid w:val="0"/>
        <w:spacing w:before="240" w:line="660" w:lineRule="exact"/>
        <w:jc w:val="center"/>
        <w:rPr>
          <w:rFonts w:ascii="方正小标宋简体" w:eastAsia="方正小标宋简体" w:cs="宋体" w:hint="eastAsia"/>
          <w:bCs/>
          <w:color w:val="000000"/>
          <w:kern w:val="0"/>
          <w:sz w:val="44"/>
          <w:szCs w:val="44"/>
        </w:rPr>
      </w:pPr>
      <w:r>
        <w:rPr>
          <w:rFonts w:ascii="方正小标宋简体" w:eastAsia="方正小标宋简体" w:cs="宋体" w:hint="eastAsia"/>
          <w:bCs/>
          <w:color w:val="000000"/>
          <w:kern w:val="0"/>
          <w:sz w:val="44"/>
          <w:szCs w:val="44"/>
        </w:rPr>
        <w:t>国家知识产权示范企业申报书（表一）</w:t>
      </w:r>
    </w:p>
    <w:p>
      <w:pPr>
        <w:snapToGrid w:val="0"/>
        <w:spacing w:line="560" w:lineRule="exact"/>
        <w:jc w:val="center"/>
        <w:rPr>
          <w:rFonts w:ascii="方正小标宋简体" w:eastAsia="方正小标宋简体" w:cs="宋体" w:hint="eastAsia"/>
          <w:bCs/>
          <w:color w:val="000000"/>
          <w:kern w:val="0"/>
          <w:sz w:val="32"/>
          <w:szCs w:val="32"/>
        </w:rPr>
      </w:pPr>
    </w:p>
    <w:tbl>
      <w:tblPr>
        <w:jc w:val="center"/>
        <w:tblW w:w="93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00"/>
        <w:gridCol w:w="1440"/>
        <w:gridCol w:w="1260"/>
        <w:gridCol w:w="346"/>
        <w:gridCol w:w="914"/>
        <w:gridCol w:w="347"/>
        <w:gridCol w:w="463"/>
        <w:gridCol w:w="290"/>
        <w:gridCol w:w="995"/>
        <w:gridCol w:w="1015"/>
        <w:gridCol w:w="1390"/>
      </w:tblGrid>
      <w:tr>
        <w:trPr>
          <w:trHeight w:val="483"/>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jc w:val="center"/>
              <w:rPr>
                <w:rFonts w:ascii="仿宋_GB2312" w:eastAsia="仿宋_GB2312" w:cs="宋体"/>
                <w:b/>
                <w:bCs/>
                <w:color w:val="000000"/>
                <w:kern w:val="0"/>
                <w:sz w:val="32"/>
                <w:szCs w:val="32"/>
              </w:rPr>
            </w:pPr>
            <w:r>
              <w:rPr>
                <w:rFonts w:ascii="仿宋_GB2312" w:eastAsia="仿宋_GB2312" w:cs="宋体" w:hint="eastAsia"/>
                <w:b/>
                <w:bCs/>
                <w:color w:val="000000"/>
                <w:kern w:val="0"/>
                <w:sz w:val="32"/>
                <w:szCs w:val="32"/>
              </w:rPr>
              <w:t>基本信息</w:t>
            </w: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1.企业名称（                                    ）</w:t>
            </w:r>
          </w:p>
        </w:tc>
      </w:tr>
      <w:tr>
        <w:trPr>
          <w:trHeight w:val="433"/>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2.组织机构代码(                                 )</w:t>
            </w:r>
          </w:p>
        </w:tc>
      </w:tr>
      <w:tr>
        <w:trPr>
          <w:trHeight w:val="453"/>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3.注册地（            ）</w:t>
            </w:r>
          </w:p>
        </w:tc>
      </w:tr>
      <w:tr>
        <w:trPr>
          <w:trHeight w:val="631"/>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4.所属行业代码及名称（        ）（注：按《国民经济行业分类》（GB/T4754-2011）中国民经济行业分类和代码表中“大类”填写）</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5.主营业务：</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6.确定为国家知识产权优势企业时间：</w:t>
            </w:r>
          </w:p>
        </w:tc>
      </w:tr>
      <w:tr>
        <w:trPr>
          <w:trHeight w:val="268"/>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rPr>
                <w:rFonts w:ascii="仿宋_GB2312" w:eastAsia="仿宋_GB2312" w:cs="宋体"/>
                <w:color w:val="000000"/>
                <w:kern w:val="0"/>
                <w:sz w:val="22"/>
                <w:szCs w:val="22"/>
              </w:rPr>
            </w:pPr>
            <w:r>
              <w:rPr>
                <w:rFonts w:ascii="仿宋_GB2312" w:eastAsia="仿宋_GB2312" w:cs="宋体" w:hint="eastAsia"/>
                <w:color w:val="000000"/>
                <w:kern w:val="0"/>
                <w:sz w:val="22"/>
                <w:szCs w:val="22"/>
              </w:rPr>
              <w:t>7.注册资金为（        ）万元</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8.企业规模为（        ）（按照《中小企业划型标准规定》确定）</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A.大型企业        B.中型企业        C.小型企业  D.微型企业</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9.企业登记注册类型（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A.内资企业       B.港、澳、台商投资企业      C.外商投资企业</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（1）企业基本性质若为内资企业，请进一步选择（       ）</w:t>
            </w:r>
          </w:p>
        </w:tc>
      </w:tr>
      <w:tr>
        <w:trPr>
          <w:trHeight w:hRule="exact" w:val="611"/>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A.中央管理国有企业   B.地方管理国有企业    C.集体企业  </w:t>
            </w:r>
          </w:p>
          <w:p>
            <w:pPr>
              <w:ind w:firstLineChars="350" w:firstLine="770"/>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D.私营企业   E.联营企业  F.股份企业</w:t>
            </w:r>
          </w:p>
        </w:tc>
      </w:tr>
      <w:tr>
        <w:trPr>
          <w:trHeight w:hRule="exact" w:val="56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（2）企业若为外商投资企业，请进一步选择（          ）</w:t>
            </w:r>
          </w:p>
        </w:tc>
      </w:tr>
      <w:tr>
        <w:trPr>
          <w:trHeight w:val="93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A.中外合资经营企业   B.中外合作经营企业</w:t>
            </w:r>
          </w:p>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C.外资企业           D.外商投资股份有限公司</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10、企业是否上市（           ）</w:t>
            </w:r>
          </w:p>
        </w:tc>
      </w:tr>
      <w:tr>
        <w:trPr>
          <w:trHeight w:val="76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A.未上市        B.准备上市      C.国内上市       D.海外上市</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11、知识产权工作联系人信息：</w:t>
            </w:r>
          </w:p>
        </w:tc>
      </w:tr>
      <w:tr>
        <w:trPr>
          <w:trHeight w:val="121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第一联系人：姓名（    ）、所在部门（            ）、职务（         ）、单位电话（             ）、移动电话（            ）、E-mail（             ）、通讯地址（                                            ）、邮编（          ）</w:t>
            </w:r>
          </w:p>
        </w:tc>
      </w:tr>
      <w:tr>
        <w:trPr>
          <w:trHeight w:val="130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第二联系人：姓名（    ）、所在部门（            ）、职务（         ）、单位电话（             ）、移动电话（            ）、E-mail（             ）、通讯地址（                                            ）、邮编（          ）</w:t>
            </w:r>
          </w:p>
        </w:tc>
      </w:tr>
      <w:tr>
        <w:trPr>
          <w:trHeight w:val="63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textDirection w:val="tbRlV"/>
            <w:vAlign w:val="center"/>
          </w:tcPr>
          <w:p>
            <w:pPr>
              <w:rPr>
                <w:rFonts w:ascii="仿宋_GB2312" w:eastAsia="仿宋_GB2312" w:cs="宋体" w:hint="eastAsia"/>
                <w:b/>
                <w:bCs/>
                <w:color w:val="000000"/>
                <w:kern w:val="0"/>
                <w:sz w:val="22"/>
                <w:szCs w:val="22"/>
              </w:rPr>
            </w:pPr>
          </w:p>
          <w:p>
            <w:pPr>
              <w:rPr>
                <w:rFonts w:ascii="仿宋_GB2312" w:eastAsia="仿宋_GB2312" w:cs="宋体" w:hint="eastAsia"/>
                <w:b/>
                <w:bCs/>
                <w:color w:val="000000"/>
                <w:kern w:val="0"/>
                <w:sz w:val="22"/>
                <w:szCs w:val="22"/>
              </w:rPr>
            </w:pPr>
          </w:p>
          <w:p>
            <w:pPr>
              <w:rPr>
                <w:rFonts w:ascii="仿宋_GB2312" w:eastAsia="仿宋_GB2312" w:cs="宋体" w:hint="eastAsia"/>
                <w:b/>
                <w:bCs/>
                <w:color w:val="000000"/>
                <w:kern w:val="0"/>
                <w:sz w:val="22"/>
                <w:szCs w:val="22"/>
              </w:rPr>
            </w:pPr>
          </w:p>
        </w:tc>
      </w:tr>
      <w:tr>
        <w:trPr>
          <w:trHeight w:val="63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textDirection w:val="tbRlV"/>
            <w:vAlign w:val="center"/>
          </w:tcPr>
          <w:p>
            <w:pPr>
              <w:rPr>
                <w:rFonts w:ascii="仿宋_GB2312" w:eastAsia="仿宋_GB2312" w:cs="宋体" w:hint="eastAsia"/>
                <w:b/>
                <w:bCs/>
                <w:color w:val="000000"/>
                <w:kern w:val="0"/>
                <w:sz w:val="22"/>
                <w:szCs w:val="22"/>
              </w:rPr>
            </w:pPr>
          </w:p>
        </w:tc>
      </w:tr>
      <w:tr>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pPr>
              <w:jc w:val="center"/>
              <w:rPr>
                <w:rFonts w:ascii="仿宋_GB2312" w:eastAsia="仿宋_GB2312" w:cs="宋体"/>
                <w:b/>
                <w:bCs/>
                <w:color w:val="000000"/>
                <w:kern w:val="0"/>
                <w:sz w:val="32"/>
                <w:szCs w:val="32"/>
              </w:rPr>
            </w:pPr>
            <w:r>
              <w:rPr>
                <w:rFonts w:ascii="仿宋_GB2312" w:eastAsia="仿宋_GB2312" w:cs="宋体" w:hint="eastAsia"/>
                <w:b/>
                <w:bCs/>
                <w:color w:val="000000"/>
                <w:kern w:val="0"/>
                <w:sz w:val="32"/>
                <w:szCs w:val="32"/>
              </w:rPr>
              <w:t>知识产权创造</w:t>
            </w: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pPr>
              <w:rPr>
                <w:rFonts w:ascii="仿宋_GB2312" w:eastAsia="仿宋_GB2312" w:cs="宋体"/>
                <w:b/>
                <w:bCs/>
                <w:color w:val="000000"/>
                <w:kern w:val="0"/>
                <w:sz w:val="22"/>
                <w:szCs w:val="22"/>
              </w:rPr>
            </w:pPr>
            <w:r>
              <w:rPr>
                <w:rFonts w:ascii="仿宋_GB2312" w:eastAsia="仿宋_GB2312" w:cs="宋体" w:hint="eastAsia"/>
                <w:b/>
                <w:bCs/>
                <w:color w:val="000000"/>
                <w:kern w:val="0"/>
                <w:sz w:val="22"/>
                <w:szCs w:val="22"/>
              </w:rPr>
              <w:t>年度财务基本信息</w:t>
            </w:r>
          </w:p>
        </w:tc>
      </w:tr>
      <w:tr>
        <w:trPr>
          <w:trHeight w:val="82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p>
            <w:pPr>
              <w:jc w:val="center"/>
              <w:rPr>
                <w:rFonts w:ascii="仿宋_GB2312" w:eastAsia="仿宋_GB2312" w:cs="宋体"/>
                <w:color w:val="000000"/>
                <w:kern w:val="0"/>
                <w:sz w:val="22"/>
                <w:szCs w:val="22"/>
              </w:rPr>
            </w:pP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年度产值（万元）</w:t>
            </w:r>
          </w:p>
        </w:tc>
        <w:tc>
          <w:tcPr>
            <w:tcW w:w="17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产品销售收入（万元）</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年度研发投入（万元）</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第T－2年</w:t>
            </w: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7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cs="宋体"/>
                <w:color w:val="000000"/>
                <w:kern w:val="0"/>
                <w:sz w:val="24"/>
              </w:rPr>
            </w:pPr>
            <w:r>
              <w:rPr>
                <w:rFonts w:ascii="宋体" w:cs="宋体" w:hint="eastAsia"/>
                <w:color w:val="000000"/>
                <w:kern w:val="0"/>
                <w:sz w:val="24"/>
              </w:rPr>
              <w:t>　</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cs="宋体"/>
                <w:color w:val="000000"/>
                <w:kern w:val="0"/>
                <w:sz w:val="24"/>
              </w:rPr>
            </w:pPr>
            <w:r>
              <w:rPr>
                <w:rFonts w:ascii="宋体" w:cs="宋体" w:hint="eastAsia"/>
                <w:color w:val="000000"/>
                <w:kern w:val="0"/>
                <w:sz w:val="24"/>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第T－1年</w:t>
            </w: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7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cs="宋体"/>
                <w:color w:val="000000"/>
                <w:kern w:val="0"/>
                <w:sz w:val="24"/>
              </w:rPr>
            </w:pPr>
            <w:r>
              <w:rPr>
                <w:rFonts w:ascii="宋体" w:cs="宋体" w:hint="eastAsia"/>
                <w:color w:val="000000"/>
                <w:kern w:val="0"/>
                <w:sz w:val="24"/>
              </w:rPr>
              <w:t>　</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cs="宋体"/>
                <w:color w:val="000000"/>
                <w:kern w:val="0"/>
                <w:sz w:val="24"/>
              </w:rPr>
            </w:pPr>
            <w:r>
              <w:rPr>
                <w:rFonts w:ascii="宋体" w:cs="宋体" w:hint="eastAsia"/>
                <w:color w:val="000000"/>
                <w:kern w:val="0"/>
                <w:sz w:val="24"/>
              </w:rPr>
              <w:t>　</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第T年</w:t>
            </w:r>
          </w:p>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(T为申报前一年，下同)</w:t>
            </w: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7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cs="宋体"/>
                <w:color w:val="000000"/>
                <w:kern w:val="0"/>
                <w:sz w:val="24"/>
              </w:rPr>
            </w:pPr>
            <w:r>
              <w:rPr>
                <w:rFonts w:ascii="宋体" w:cs="宋体" w:hint="eastAsia"/>
                <w:color w:val="000000"/>
                <w:kern w:val="0"/>
                <w:sz w:val="24"/>
              </w:rPr>
              <w:t>　</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cs="宋体"/>
                <w:color w:val="000000"/>
                <w:kern w:val="0"/>
                <w:sz w:val="24"/>
              </w:rPr>
            </w:pPr>
            <w:r>
              <w:rPr>
                <w:rFonts w:ascii="宋体" w:cs="宋体" w:hint="eastAsia"/>
                <w:color w:val="000000"/>
                <w:kern w:val="0"/>
                <w:sz w:val="24"/>
              </w:rPr>
              <w:t>　</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hint="eastAsia"/>
                <w:b/>
                <w:bCs/>
                <w:color w:val="000000"/>
                <w:kern w:val="0"/>
                <w:sz w:val="22"/>
                <w:szCs w:val="22"/>
              </w:rPr>
            </w:pPr>
            <w:r>
              <w:rPr>
                <w:rFonts w:ascii="仿宋_GB2312" w:eastAsia="仿宋_GB2312" w:cs="宋体" w:hint="eastAsia"/>
                <w:b/>
                <w:bCs/>
                <w:color w:val="000000"/>
                <w:kern w:val="0"/>
                <w:sz w:val="22"/>
                <w:szCs w:val="22"/>
              </w:rPr>
              <w:t>年度知识产权投入</w:t>
            </w:r>
          </w:p>
        </w:tc>
      </w:tr>
      <w:tr>
        <w:trPr>
          <w:trHeight w:val="82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专利申请投入（万元）</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专利维持年费（万元）</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专利保护投入（万元）</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专利奖励投入</w:t>
              <w:br/>
              <w:t>（万元）</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其他知识产权投入</w:t>
              <w:br/>
              <w:t>（万元）</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总计</w:t>
              <w:br/>
              <w:t>（万元）</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第T－2年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宋体" w:cs="宋体"/>
                <w:color w:val="000000"/>
                <w:kern w:val="0"/>
                <w:sz w:val="24"/>
              </w:rPr>
            </w:pPr>
            <w:r>
              <w:rPr>
                <w:rFonts w:ascii="宋体" w:cs="宋体" w:hint="eastAsia"/>
                <w:color w:val="000000"/>
                <w:kern w:val="0"/>
                <w:sz w:val="24"/>
              </w:rPr>
              <w:t>　</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第T－1年</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宋体" w:cs="宋体"/>
                <w:color w:val="000000"/>
                <w:kern w:val="0"/>
                <w:sz w:val="24"/>
              </w:rPr>
            </w:pPr>
            <w:r>
              <w:rPr>
                <w:rFonts w:ascii="宋体" w:cs="宋体" w:hint="eastAsia"/>
                <w:color w:val="000000"/>
                <w:kern w:val="0"/>
                <w:sz w:val="24"/>
              </w:rPr>
              <w:t>　</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第T年</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宋体" w:cs="宋体"/>
                <w:color w:val="000000"/>
                <w:kern w:val="0"/>
                <w:sz w:val="24"/>
              </w:rPr>
            </w:pPr>
            <w:r>
              <w:rPr>
                <w:rFonts w:ascii="宋体" w:cs="宋体" w:hint="eastAsia"/>
                <w:color w:val="000000"/>
                <w:kern w:val="0"/>
                <w:sz w:val="24"/>
              </w:rPr>
              <w:t>　</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b/>
                <w:bCs/>
                <w:color w:val="000000"/>
                <w:kern w:val="0"/>
                <w:sz w:val="22"/>
                <w:szCs w:val="22"/>
              </w:rPr>
            </w:pPr>
            <w:r>
              <w:rPr>
                <w:rFonts w:ascii="仿宋_GB2312" w:eastAsia="仿宋_GB2312" w:cs="宋体" w:hint="eastAsia"/>
                <w:b/>
                <w:bCs/>
                <w:color w:val="000000"/>
                <w:kern w:val="0"/>
                <w:sz w:val="22"/>
                <w:szCs w:val="22"/>
              </w:rPr>
              <w:t>近三年专利申请情况</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w:t>
            </w: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发明</w:t>
            </w:r>
          </w:p>
        </w:tc>
        <w:tc>
          <w:tcPr>
            <w:tcW w:w="17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实用新型</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外观设计</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申请量</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授权量</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申请量</w:t>
            </w:r>
          </w:p>
        </w:tc>
        <w:tc>
          <w:tcPr>
            <w:tcW w:w="995"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授权量</w:t>
            </w:r>
          </w:p>
        </w:tc>
        <w:tc>
          <w:tcPr>
            <w:tcW w:w="1015"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申请量</w:t>
            </w:r>
          </w:p>
        </w:tc>
        <w:tc>
          <w:tcPr>
            <w:tcW w:w="13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授权量</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第T－2年</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第T－1年</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val="36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第T年</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b/>
                <w:bCs/>
                <w:color w:val="000000"/>
                <w:kern w:val="0"/>
                <w:sz w:val="22"/>
                <w:szCs w:val="22"/>
              </w:rPr>
            </w:pPr>
            <w:r>
              <w:rPr>
                <w:rFonts w:ascii="仿宋_GB2312" w:eastAsia="仿宋_GB2312" w:cs="宋体" w:hint="eastAsia"/>
                <w:b/>
                <w:bCs/>
                <w:color w:val="000000"/>
                <w:kern w:val="0"/>
                <w:sz w:val="22"/>
                <w:szCs w:val="22"/>
              </w:rPr>
              <w:t>截至上一年有效专利拥有量</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年份</w:t>
            </w: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发明</w:t>
            </w:r>
          </w:p>
        </w:tc>
        <w:tc>
          <w:tcPr>
            <w:tcW w:w="1748" w:type="dxa"/>
            <w:gridSpan w:val="3"/>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实用新型</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外观设计</w:t>
            </w:r>
          </w:p>
        </w:tc>
      </w:tr>
      <w:tr>
        <w:trPr>
          <w:trHeight w:val="36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第T年</w:t>
            </w: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7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84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仿宋_GB2312" w:eastAsia="仿宋_GB2312" w:cs="宋体"/>
                <w:b/>
                <w:bCs/>
                <w:color w:val="000000"/>
                <w:kern w:val="0"/>
                <w:sz w:val="22"/>
                <w:szCs w:val="22"/>
              </w:rPr>
            </w:pPr>
            <w:r>
              <w:rPr>
                <w:rFonts w:ascii="仿宋_GB2312" w:eastAsia="仿宋_GB2312" w:cs="宋体" w:hint="eastAsia"/>
                <w:b/>
                <w:bCs/>
                <w:color w:val="000000"/>
                <w:kern w:val="0"/>
                <w:sz w:val="22"/>
                <w:szCs w:val="22"/>
              </w:rPr>
              <w:t>累计向国外专利数量</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p>
        </w:tc>
        <w:tc>
          <w:tcPr>
            <w:tcW w:w="36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PCT</w:t>
            </w:r>
          </w:p>
        </w:tc>
        <w:tc>
          <w:tcPr>
            <w:tcW w:w="3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巴黎公约</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申请</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授权</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有效总量</w:t>
            </w:r>
          </w:p>
        </w:tc>
        <w:tc>
          <w:tcPr>
            <w:tcW w:w="995"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申请</w:t>
            </w:r>
          </w:p>
        </w:tc>
        <w:tc>
          <w:tcPr>
            <w:tcW w:w="1015"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授权</w:t>
            </w:r>
          </w:p>
        </w:tc>
        <w:tc>
          <w:tcPr>
            <w:tcW w:w="13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有效总量</w:t>
            </w:r>
          </w:p>
        </w:tc>
      </w:tr>
      <w:tr>
        <w:trPr>
          <w:trHeight w:val="36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截至第T年底</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截至第T年底商标注册量</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国内商标注册情况</w:t>
            </w:r>
          </w:p>
        </w:tc>
        <w:tc>
          <w:tcPr>
            <w:tcW w:w="57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注册商标      （      ） 件</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vMerge/>
            <w:tcBorders>
              <w:top w:val="single" w:sz="4" w:space="0" w:color="auto"/>
              <w:left w:val="single" w:sz="4" w:space="0" w:color="auto"/>
              <w:bottom w:val="single" w:sz="4" w:space="0" w:color="auto"/>
              <w:right w:val="single" w:sz="4" w:space="0" w:color="auto"/>
            </w:tcBorders>
            <w:vAlign w:val="center"/>
          </w:tcPr>
          <w:p/>
        </w:tc>
        <w:tc>
          <w:tcPr>
            <w:tcW w:w="576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中国驰名商标  （      ） 件</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国外商标注册情况</w:t>
            </w:r>
          </w:p>
        </w:tc>
        <w:tc>
          <w:tcPr>
            <w:tcW w:w="36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注册商标      （      ） 件</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spacing w:val="-32"/>
                <w:kern w:val="0"/>
                <w:sz w:val="22"/>
                <w:szCs w:val="22"/>
              </w:rPr>
            </w:pPr>
            <w:r>
              <w:rPr>
                <w:rFonts w:ascii="仿宋_GB2312" w:eastAsia="仿宋_GB2312" w:cs="宋体" w:hint="eastAsia"/>
                <w:color w:val="000000"/>
                <w:spacing w:val="-32"/>
                <w:kern w:val="0"/>
                <w:sz w:val="22"/>
                <w:szCs w:val="22"/>
              </w:rPr>
              <w:t>截至第T年底其它知识产权拥有量</w:t>
            </w: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集成电路布图设计总数</w:t>
            </w:r>
          </w:p>
        </w:tc>
        <w:tc>
          <w:tcPr>
            <w:tcW w:w="415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计算机软件著作权登记总数</w:t>
            </w:r>
          </w:p>
        </w:tc>
        <w:tc>
          <w:tcPr>
            <w:tcW w:w="415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cs="宋体"/>
                <w:b/>
                <w:bCs/>
                <w:color w:val="000000"/>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cs="宋体"/>
                <w:color w:val="000000"/>
                <w:kern w:val="0"/>
                <w:sz w:val="22"/>
                <w:szCs w:val="22"/>
              </w:rPr>
            </w:pP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hint="eastAsia"/>
                <w:color w:val="000000"/>
                <w:kern w:val="0"/>
                <w:sz w:val="22"/>
                <w:szCs w:val="22"/>
              </w:rPr>
            </w:pPr>
          </w:p>
        </w:tc>
        <w:tc>
          <w:tcPr>
            <w:tcW w:w="415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hint="eastAsia"/>
                <w:color w:val="000000"/>
                <w:kern w:val="0"/>
                <w:sz w:val="22"/>
                <w:szCs w:val="22"/>
              </w:rPr>
            </w:pPr>
          </w:p>
        </w:tc>
      </w:tr>
      <w:tr>
        <w:trPr>
          <w:trHeight w:hRule="exact" w:val="397"/>
        </w:trPr>
        <w:tc>
          <w:tcPr>
            <w:tcW w:w="900" w:type="dxa"/>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cs="宋体"/>
                <w:b/>
                <w:bCs/>
                <w:color w:val="000000"/>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pPr>
              <w:jc w:val="left"/>
              <w:rPr>
                <w:rFonts w:ascii="仿宋_GB2312" w:eastAsia="仿宋_GB2312" w:cs="宋体"/>
                <w:color w:val="000000"/>
                <w:kern w:val="0"/>
                <w:sz w:val="22"/>
                <w:szCs w:val="22"/>
              </w:rPr>
            </w:pP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hint="eastAsia"/>
                <w:color w:val="000000"/>
                <w:kern w:val="0"/>
                <w:sz w:val="22"/>
                <w:szCs w:val="22"/>
              </w:rPr>
            </w:pPr>
          </w:p>
        </w:tc>
        <w:tc>
          <w:tcPr>
            <w:tcW w:w="415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hint="eastAsia"/>
                <w:color w:val="000000"/>
                <w:kern w:val="0"/>
                <w:sz w:val="22"/>
                <w:szCs w:val="22"/>
              </w:rPr>
            </w:pPr>
          </w:p>
        </w:tc>
      </w:tr>
      <w:tr>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jc w:val="center"/>
              <w:rPr>
                <w:rFonts w:ascii="仿宋_GB2312" w:eastAsia="仿宋_GB2312" w:cs="宋体"/>
                <w:b/>
                <w:bCs/>
                <w:color w:val="000000"/>
                <w:kern w:val="0"/>
                <w:sz w:val="32"/>
                <w:szCs w:val="32"/>
              </w:rPr>
            </w:pPr>
            <w:r>
              <w:rPr>
                <w:rFonts w:ascii="仿宋_GB2312" w:eastAsia="仿宋_GB2312" w:cs="宋体" w:hint="eastAsia"/>
                <w:b/>
                <w:bCs/>
                <w:color w:val="000000"/>
                <w:kern w:val="0"/>
                <w:sz w:val="32"/>
                <w:szCs w:val="32"/>
              </w:rPr>
              <w:t>知识产权运用</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mc:AlternateContent>
                <mc:Choice Requires="wps">
                  <w:drawing>
                    <wp:anchor distT="0" distB="0" distL="114300" distR="114300" simplePos="0" relativeHeight="10" behindDoc="0" locked="0" layoutInCell="1" hidden="0" allowOverlap="1">
                      <wp:simplePos x="0" y="0"/>
                      <wp:positionH relativeFrom="column">
                        <wp:posOffset>837564</wp:posOffset>
                      </wp:positionH>
                      <wp:positionV relativeFrom="paragraph">
                        <wp:posOffset>-12699</wp:posOffset>
                      </wp:positionV>
                      <wp:extent cx="800099" cy="792479"/>
                      <wp:effectExtent l="0" t="0" r="0" b="0"/>
                      <wp:wrapNone/>
                      <wp:docPr id="1" name="直线 1"/>
                      <wp:cNvGraphicFramePr>
                        <a:graphicFrameLocks noChangeAspect="0"/>
                      </wp:cNvGraphicFramePr>
                      <a:graphic>
                        <a:graphicData uri="http://schemas.microsoft.com/office/word/2010/wordprocessingShape">
                          <wps:wsp>
                            <wps:cNvSpPr/>
                            <wps:spPr>
                              <a:xfrm flipH="1" flipV="1" rot="0">
                                <a:off x="0" y="0"/>
                                <a:ext cx="800099" cy="792479"/>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2" o:spid="_x0000_s2" from="65.95pt,-0.99999815pt" to="128.95pt,61.399998pt" filled="f" stroked="t" style="position:absolute;&#13;&#10;flip:&quot;x y&quot;;&#13;&#10;z-index:10;&#13;&#10;mso-position-horizontal:absolute;&#13;&#10;mso-position-vertical:absolute;">
                      <v:stroke color="000000"/>
                    </v:line>
                  </w:pict>
                </mc:Fallback>
              </mc:AlternateContent>
            </w:r>
            <w:r>
              <w:rPr>
                <w:rFonts w:ascii="仿宋_GB2312" w:eastAsia="仿宋_GB2312" w:cs="宋体" w:hint="eastAsia"/>
                <w:color w:val="000000"/>
                <w:kern w:val="0"/>
                <w:sz w:val="22"/>
                <w:szCs w:val="22"/>
              </w:rPr>
              <w:t>知识产权实施运用情况</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w:t>
            </w:r>
          </w:p>
        </w:tc>
        <w:tc>
          <w:tcPr>
            <w:tcW w:w="23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运用他人专利（件）</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运用自有专利（件）</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商标运用（件）</w:t>
            </w:r>
          </w:p>
        </w:tc>
      </w:tr>
      <w:tr>
        <w:trPr>
          <w:trHeight w:val="55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vMerge/>
            <w:tcBorders>
              <w:top w:val="single" w:sz="4" w:space="0" w:color="auto"/>
              <w:left w:val="single" w:sz="4" w:space="0" w:color="auto"/>
              <w:bottom w:val="single" w:sz="4" w:space="0" w:color="auto"/>
              <w:right w:val="single" w:sz="4" w:space="0" w:color="auto"/>
            </w:tcBorders>
            <w:vAlign w:val="center"/>
          </w:tc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接受转让</w:t>
            </w:r>
          </w:p>
        </w:tc>
        <w:tc>
          <w:tcPr>
            <w:tcW w:w="11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接受许可</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向外转让</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向外许可</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转让许可总量</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T－2年</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T－1年</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第T年</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val="67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知识产权运用经济效益</w:t>
            </w:r>
          </w:p>
        </w:tc>
        <w:tc>
          <w:tcPr>
            <w:tcW w:w="126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w:t>
            </w:r>
          </w:p>
        </w:tc>
        <w:tc>
          <w:tcPr>
            <w:tcW w:w="23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专利转让许可收益</w:t>
              <w:br/>
              <w:t>（万元）</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商标转让许可收益</w:t>
            </w:r>
          </w:p>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（万元）</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专利产品销售收入</w:t>
            </w:r>
          </w:p>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（万元）</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专利销售收入占企业销售收入比值（％）</w:t>
            </w:r>
          </w:p>
        </w:tc>
      </w:tr>
      <w:tr>
        <w:trPr>
          <w:trHeight w:val="483"/>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vMerge/>
            <w:tcBorders>
              <w:top w:val="single" w:sz="4" w:space="0" w:color="auto"/>
              <w:left w:val="single" w:sz="4" w:space="0" w:color="auto"/>
              <w:bottom w:val="single" w:sz="4" w:space="0" w:color="auto"/>
              <w:right w:val="single" w:sz="4" w:space="0" w:color="auto"/>
            </w:tcBorders>
            <w:vAlign w:val="center"/>
          </w:tcP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转让收益</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许可收益</w:t>
            </w:r>
          </w:p>
        </w:tc>
        <w:tc>
          <w:tcPr>
            <w:tcW w:w="995" w:type="dxa"/>
            <w:vMerge/>
            <w:tcBorders>
              <w:top w:val="single" w:sz="4" w:space="0" w:color="auto"/>
              <w:left w:val="single" w:sz="4" w:space="0" w:color="auto"/>
              <w:bottom w:val="single" w:sz="4" w:space="0" w:color="auto"/>
              <w:right w:val="single" w:sz="4" w:space="0" w:color="auto"/>
            </w:tcBorders>
            <w:vAlign w:val="center"/>
          </w:tcPr>
          <w:p/>
        </w:tc>
        <w:tc>
          <w:tcPr>
            <w:tcW w:w="1015" w:type="dxa"/>
            <w:vMerge/>
            <w:tcBorders>
              <w:top w:val="single" w:sz="4" w:space="0" w:color="auto"/>
              <w:left w:val="single" w:sz="4" w:space="0" w:color="auto"/>
              <w:bottom w:val="single" w:sz="4" w:space="0" w:color="auto"/>
              <w:right w:val="single" w:sz="4" w:space="0" w:color="auto"/>
            </w:tcBorders>
            <w:vAlign w:val="center"/>
          </w:tcPr>
          <w:p/>
        </w:tc>
        <w:tc>
          <w:tcPr>
            <w:tcW w:w="1390" w:type="dxa"/>
            <w:vMerge/>
            <w:tcBorders>
              <w:top w:val="single" w:sz="4" w:space="0" w:color="auto"/>
              <w:left w:val="single" w:sz="4" w:space="0" w:color="auto"/>
              <w:bottom w:val="single" w:sz="4" w:space="0" w:color="auto"/>
              <w:right w:val="single" w:sz="4" w:space="0" w:color="auto"/>
            </w:tcBorders>
            <w:vAlign w:val="center"/>
          </w:tcP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T－2年</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T－1年</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第T年</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知识产权</w:t>
            </w:r>
          </w:p>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投融资情况</w:t>
            </w:r>
          </w:p>
        </w:tc>
        <w:tc>
          <w:tcPr>
            <w:tcW w:w="126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6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专利实施率（％）</w:t>
            </w:r>
          </w:p>
        </w:tc>
        <w:tc>
          <w:tcPr>
            <w:tcW w:w="17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知识产权作价入股</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知识产权质押融资</w:t>
            </w:r>
          </w:p>
        </w:tc>
      </w:tr>
      <w:tr>
        <w:trPr>
          <w:trHeight w:val="55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vMerge/>
            <w:tcBorders>
              <w:top w:val="single" w:sz="4" w:space="0" w:color="auto"/>
              <w:left w:val="single" w:sz="4" w:space="0" w:color="auto"/>
              <w:bottom w:val="single" w:sz="4" w:space="0" w:color="auto"/>
              <w:right w:val="single" w:sz="4" w:space="0" w:color="auto"/>
            </w:tcBorders>
            <w:vAlign w:val="center"/>
          </w:tcPr>
          <w:p/>
        </w:tc>
        <w:tc>
          <w:tcPr>
            <w:tcW w:w="1607" w:type="dxa"/>
            <w:gridSpan w:val="3"/>
            <w:vMerge/>
            <w:tcBorders>
              <w:top w:val="single" w:sz="4" w:space="0" w:color="auto"/>
              <w:left w:val="single" w:sz="4" w:space="0" w:color="auto"/>
              <w:bottom w:val="single" w:sz="4" w:space="0" w:color="auto"/>
              <w:right w:val="single" w:sz="4" w:space="0" w:color="auto"/>
            </w:tcBorders>
            <w:vAlign w:val="center"/>
          </w:tcP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数量</w:t>
            </w:r>
          </w:p>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（件）</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金额</w:t>
            </w:r>
          </w:p>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（万元）</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数量</w:t>
            </w:r>
          </w:p>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（件）</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金额</w:t>
            </w:r>
          </w:p>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（万元）</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T－2年</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T－1年</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第T年</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利用专利信息优化知识产权产出导向</w:t>
            </w:r>
          </w:p>
        </w:tc>
        <w:tc>
          <w:tcPr>
            <w:tcW w:w="46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企业是否对竞争对手专利信息进行分析</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46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是否充分利用失效、无效专利及他国专利</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在各过程中是否进行了专利信息的检索与分析</w:t>
            </w: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战略布局与主动防御</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新产品开发、科研立项</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专利申请</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专利诉讼</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产品、技术进出口</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专利许可</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专利投融资</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中外合资合作</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val="151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楷体_GB2312" w:eastAsia="楷体_GB2312" w:cs="宋体" w:hint="eastAsia"/>
                <w:color w:val="000000"/>
                <w:kern w:val="0"/>
                <w:sz w:val="24"/>
              </w:rPr>
            </w:pPr>
            <w:r>
              <w:rPr>
                <w:rFonts w:ascii="楷体_GB2312" w:eastAsia="楷体_GB2312" w:cs="宋体" w:hint="eastAsia"/>
                <w:color w:val="000000"/>
                <w:kern w:val="0"/>
                <w:sz w:val="24"/>
              </w:rPr>
              <w:t>　</w:t>
            </w:r>
          </w:p>
        </w:tc>
      </w:tr>
      <w:tr>
        <w:trPr>
          <w:trHeight w:val="55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jc w:val="center"/>
              <w:rPr>
                <w:rFonts w:ascii="仿宋_GB2312" w:eastAsia="仿宋_GB2312" w:cs="宋体"/>
                <w:b/>
                <w:bCs/>
                <w:color w:val="000000"/>
                <w:kern w:val="0"/>
                <w:sz w:val="32"/>
                <w:szCs w:val="32"/>
              </w:rPr>
            </w:pPr>
            <w:r>
              <w:rPr>
                <w:rFonts w:ascii="仿宋_GB2312" w:eastAsia="仿宋_GB2312" w:cs="宋体" w:hint="eastAsia"/>
                <w:b/>
                <w:bCs/>
                <w:color w:val="000000"/>
                <w:kern w:val="0"/>
                <w:sz w:val="32"/>
                <w:szCs w:val="32"/>
              </w:rPr>
              <w:t>知识产权保护</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专利行政调处</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专利司法诉讼</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商标</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版权</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其它</w:t>
            </w:r>
          </w:p>
        </w:tc>
      </w:tr>
      <w:tr>
        <w:trPr>
          <w:trHeight w:val="55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行政、司法途径</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T－2年</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件</w:t>
            </w:r>
          </w:p>
        </w:tc>
      </w:tr>
      <w:tr>
        <w:trPr>
          <w:trHeight w:val="55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T－1年</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件</w:t>
            </w:r>
          </w:p>
        </w:tc>
      </w:tr>
      <w:tr>
        <w:trPr>
          <w:trHeight w:val="55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第T年</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件</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right"/>
              <w:rPr>
                <w:rFonts w:ascii="仿宋_GB2312" w:eastAsia="仿宋_GB2312" w:cs="宋体"/>
                <w:color w:val="000000"/>
                <w:kern w:val="0"/>
                <w:sz w:val="22"/>
                <w:szCs w:val="22"/>
              </w:rPr>
            </w:pPr>
            <w:r>
              <w:rPr>
                <w:rFonts w:ascii="仿宋_GB2312" w:eastAsia="仿宋_GB2312" w:cs="宋体" w:hint="eastAsia"/>
                <w:color w:val="000000"/>
                <w:kern w:val="0"/>
                <w:sz w:val="22"/>
                <w:szCs w:val="22"/>
              </w:rPr>
              <w:t>件</w:t>
            </w:r>
          </w:p>
        </w:tc>
      </w:tr>
      <w:tr>
        <w:trPr>
          <w:trHeight w:hRule="exact" w:val="2268"/>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自身途径</w:t>
            </w: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是否建立贯穿生产经营全流程的知识产权侵权预警机制和风险监控机制</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A.是 </w:t>
              <w:br/>
              <w:t>B.否</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是否定期开展知识产权风险测评</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A.是 </w:t>
              <w:br/>
              <w:t>B.否</w:t>
            </w:r>
          </w:p>
        </w:tc>
      </w:tr>
      <w:tr>
        <w:trPr>
          <w:trHeight w:hRule="exact" w:val="2268"/>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是否通过开展知识产权尽职调查。获得知识产权许可等方式，避免主观恶意侵犯他人知识产权</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A.是 </w:t>
              <w:br/>
              <w:t>B.否</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是否推动建立行业知识产权维权协作机制，参与行业专利纠纷处置</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A.是 </w:t>
              <w:br/>
              <w:t>B.否</w:t>
            </w:r>
          </w:p>
        </w:tc>
      </w:tr>
      <w:tr>
        <w:trPr>
          <w:trHeight w:val="66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56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是否建立了应对国际、国内知识产权纠纷的机制，编制并适时调整相关预案</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A.是 </w:t>
              <w:br/>
              <w:t>B.否</w:t>
            </w:r>
          </w:p>
        </w:tc>
      </w:tr>
      <w:tr>
        <w:trPr>
          <w:trHeight w:hRule="exact" w:val="567"/>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宋体" w:cs="宋体"/>
                <w:color w:val="000000"/>
                <w:kern w:val="0"/>
                <w:sz w:val="24"/>
              </w:rPr>
            </w:pPr>
            <w:r>
              <w:rPr>
                <w:rFonts w:ascii="宋体" w:cs="宋体" w:hint="eastAsia"/>
                <w:color w:val="000000"/>
                <w:kern w:val="0"/>
                <w:sz w:val="24"/>
              </w:rPr>
              <w:t>　</w:t>
            </w:r>
          </w:p>
        </w:tc>
      </w:tr>
      <w:tr>
        <w:trPr>
          <w:trHeight w:val="1065"/>
        </w:trPr>
        <w:tc>
          <w:tcPr>
            <w:tcW w:w="900" w:type="dxa"/>
            <w:vMerge w:val="restart"/>
            <w:tcBorders>
              <w:top w:val="single" w:sz="4" w:space="0" w:color="auto"/>
              <w:left w:val="single" w:sz="4" w:space="0" w:color="auto"/>
              <w:bottom w:val="single" w:sz="4" w:space="0" w:color="auto"/>
              <w:right w:val="single" w:sz="4" w:space="0" w:color="auto"/>
            </w:tcBorders>
            <w:textDirection w:val="tbRlV"/>
            <w:vAlign w:val="center"/>
          </w:tcPr>
          <w:p>
            <w:pPr>
              <w:ind w:left="113" w:right="113"/>
              <w:jc w:val="center"/>
              <w:rPr>
                <w:rFonts w:ascii="仿宋_GB2312" w:eastAsia="仿宋_GB2312" w:cs="宋体"/>
                <w:b/>
                <w:bCs/>
                <w:color w:val="000000"/>
                <w:kern w:val="0"/>
                <w:sz w:val="32"/>
                <w:szCs w:val="32"/>
              </w:rPr>
            </w:pPr>
            <w:r>
              <w:rPr>
                <w:rFonts w:ascii="仿宋_GB2312" w:eastAsia="仿宋_GB2312" w:cs="宋体" w:hint="eastAsia"/>
                <w:b/>
                <w:bCs/>
                <w:color w:val="000000"/>
                <w:kern w:val="0"/>
                <w:sz w:val="32"/>
                <w:szCs w:val="32"/>
              </w:rPr>
              <w:t>知识产权管理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机构人员</w:t>
            </w:r>
          </w:p>
        </w:tc>
        <w:tc>
          <w:tcPr>
            <w:tcW w:w="3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 知识产权管理部门隶属部门名称：                   （      ）</w:t>
            </w:r>
          </w:p>
        </w:tc>
        <w:tc>
          <w:tcPr>
            <w:tcW w:w="3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A.法务部门  B.科技部门  C.办公室  D.领导直管  E.其它</w:t>
            </w:r>
          </w:p>
        </w:tc>
      </w:tr>
      <w:tr>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知识产权</w:t>
              <w:br/>
              <w:t>人员情况</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楷体_GB2312" w:eastAsia="楷体_GB2312" w:cs="宋体"/>
                <w:color w:val="000000"/>
                <w:kern w:val="0"/>
                <w:sz w:val="22"/>
                <w:szCs w:val="22"/>
              </w:rPr>
            </w:pPr>
            <w:r>
              <w:rPr>
                <w:rFonts w:ascii="楷体_GB2312" w:eastAsia="楷体_GB2312" w:cs="宋体" w:hint="eastAsia"/>
                <w:color w:val="000000"/>
                <w:kern w:val="0"/>
                <w:sz w:val="22"/>
                <w:szCs w:val="22"/>
              </w:rPr>
              <w:t>年份</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专职人数</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兼职人数</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其中具有代理资格人数</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其中律师人数</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T－2年</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left"/>
              <w:rPr>
                <w:rFonts w:ascii="楷体_GB2312" w:eastAsia="楷体_GB2312" w:cs="宋体"/>
                <w:color w:val="000000"/>
                <w:kern w:val="0"/>
                <w:sz w:val="22"/>
                <w:szCs w:val="22"/>
              </w:rPr>
            </w:pPr>
            <w:r>
              <w:rPr>
                <w:rFonts w:ascii="楷体_GB2312" w:eastAsia="楷体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T－1年</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第T年</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知识产权</w:t>
            </w:r>
          </w:p>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制度</w:t>
            </w: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知识产权管理制度 </w:t>
            </w: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知识产权机构管理制度</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A.有    B.无</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知识产权教育培训制度</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A.有    B.无</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知识产权奖励激励机制</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A.有    B.无</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技术及商业保密管理制度</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A.有    B.无</w:t>
            </w:r>
          </w:p>
        </w:tc>
      </w:tr>
      <w:tr>
        <w:trPr>
          <w:trHeight w:hRule="exact" w:val="397"/>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tc>
        <w:tc>
          <w:tcPr>
            <w:tcW w:w="30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竞业禁止制度</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A.有    B.无</w:t>
            </w:r>
          </w:p>
        </w:tc>
      </w:tr>
      <w:tr>
        <w:trPr>
          <w:trHeight w:val="54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战略规划</w:t>
            </w:r>
          </w:p>
        </w:tc>
        <w:tc>
          <w:tcPr>
            <w:tcW w:w="46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劳动合同中是否有界定职务发明条款</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A.有    B.无</w:t>
            </w:r>
          </w:p>
        </w:tc>
      </w:tr>
      <w:tr>
        <w:trPr>
          <w:trHeight w:val="61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461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签订合同时是否有约定知识产权权利归属和保护知识产权的条款</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A.有    B.无</w:t>
            </w:r>
          </w:p>
        </w:tc>
      </w:tr>
      <w:tr>
        <w:trPr>
          <w:trHeight w:val="60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461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是否制定了知识产权战略（规划）并纳入整体发展规划</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val="720"/>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461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是否建立了企业职务发明人权益保护和奖励机制</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val="64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支撑体系</w:t>
            </w:r>
          </w:p>
        </w:tc>
        <w:tc>
          <w:tcPr>
            <w:tcW w:w="461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是否建立了内部专家评议机制或项目知识产权专员跟踪机制等  </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val="749"/>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461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是否借助外部知识产权服务机构进行专利申请以外的专业化服务  </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val="153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461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jc w:val="left"/>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近三年核心人员知识产权培训率 </w:t>
            </w:r>
          </w:p>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(核心人员包括企业管理人员、知识产权工作人员和研发人员。培训率为被培训核心人员占核心人员总数的比例。)</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val="58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重要成果</w:t>
            </w:r>
          </w:p>
        </w:tc>
        <w:tc>
          <w:tcPr>
            <w:tcW w:w="3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是否承担国家重大科技专项</w:t>
            </w:r>
          </w:p>
        </w:tc>
        <w:tc>
          <w:tcPr>
            <w:tcW w:w="3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宋体"/>
                <w:color w:val="000000"/>
                <w:kern w:val="0"/>
                <w:sz w:val="22"/>
                <w:szCs w:val="22"/>
              </w:rPr>
            </w:pPr>
            <w:r>
              <w:rPr>
                <w:rFonts w:ascii="仿宋_GB2312" w:eastAsia="仿宋_GB2312" w:cs="宋体" w:hint="eastAsia"/>
                <w:color w:val="000000"/>
                <w:kern w:val="0"/>
                <w:sz w:val="22"/>
                <w:szCs w:val="22"/>
              </w:rPr>
              <w:t>A.是    B.否</w:t>
            </w:r>
          </w:p>
        </w:tc>
      </w:tr>
      <w:tr>
        <w:trPr>
          <w:trHeight w:val="379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3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获得国家级专利奖情况    (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中国专利金奖    （    ）项</w:t>
              <w:br/>
              <w:t>中国专利优秀奖  （    ）项</w:t>
              <w:br/>
              <w:t>中国商标金奖    （    ）项</w:t>
              <w:br/>
              <w:t>世界知识产权组织版权金奖（中国）  （    ）项</w:t>
              <w:br/>
              <w:t>国家技术发明奖  （    ）项；</w:t>
            </w:r>
          </w:p>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省级知识产权奖励是指省级政府设立的知识产权奖励，不含省级政府下属部门或单位颁发的奖项。</w:t>
              <w:br/>
              <w:t>省级政府奖励（   ）项，名称（     ）</w:t>
            </w:r>
          </w:p>
        </w:tc>
      </w:tr>
      <w:tr>
        <w:trPr>
          <w:trHeight w:val="1095"/>
        </w:trPr>
        <w:tc>
          <w:tcPr>
            <w:tcW w:w="900" w:type="dxa"/>
            <w:vMerge/>
            <w:tcBorders>
              <w:top w:val="single" w:sz="4" w:space="0" w:color="auto"/>
              <w:left w:val="single" w:sz="4" w:space="0" w:color="auto"/>
              <w:bottom w:val="single" w:sz="4" w:space="0" w:color="auto"/>
              <w:right w:val="single" w:sz="4" w:space="0" w:color="auto"/>
            </w:tcBorders>
            <w:vAlign w:val="center"/>
          </w:tcPr>
          <w:p/>
        </w:tc>
        <w:tc>
          <w:tcPr>
            <w:tcW w:w="1440" w:type="dxa"/>
            <w:vMerge/>
            <w:tcBorders>
              <w:top w:val="single" w:sz="4" w:space="0" w:color="auto"/>
              <w:left w:val="single" w:sz="4" w:space="0" w:color="auto"/>
              <w:bottom w:val="single" w:sz="4" w:space="0" w:color="auto"/>
              <w:right w:val="single" w:sz="4" w:space="0" w:color="auto"/>
            </w:tcBorders>
            <w:vAlign w:val="center"/>
          </w:tcPr>
          <w:p/>
        </w:tc>
        <w:tc>
          <w:tcPr>
            <w:tcW w:w="3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 xml:space="preserve">积极主导或参与标准制定  </w:t>
            </w:r>
          </w:p>
        </w:tc>
        <w:tc>
          <w:tcPr>
            <w:tcW w:w="3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国家标准  （    )项</w:t>
            </w:r>
          </w:p>
          <w:p>
            <w:pPr>
              <w:jc w:val="left"/>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行业标准  （    )项</w:t>
            </w:r>
          </w:p>
          <w:p>
            <w:pPr>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国际标准  （    )项</w:t>
            </w:r>
          </w:p>
        </w:tc>
      </w:tr>
    </w:tbl>
    <w:p>
      <w:pPr>
        <w:spacing w:line="560" w:lineRule="exact"/>
        <w:ind w:firstLineChars="200" w:firstLine="640"/>
        <w:rPr>
          <w:rFonts w:ascii="仿宋_GB2312" w:eastAsia="仿宋_GB2312"/>
          <w:color w:val="000000"/>
          <w:sz w:val="32"/>
          <w:szCs w:val="32"/>
        </w:rPr>
      </w:pPr>
    </w:p>
    <w:p>
      <w:pPr>
        <w:snapToGrid w:val="0"/>
        <w:spacing w:line="560" w:lineRule="exact"/>
        <w:jc w:val="center"/>
        <w:rPr>
          <w:rFonts w:ascii="仿宋_GB2312" w:eastAsia="仿宋_GB2312" w:hint="eastAsia"/>
          <w:color w:val="000000"/>
          <w:sz w:val="32"/>
          <w:szCs w:val="32"/>
        </w:rPr>
      </w:pPr>
      <w:r>
        <w:rPr>
          <w:rFonts w:ascii="仿宋_GB2312" w:eastAsia="仿宋_GB2312"/>
          <w:color w:val="000000"/>
          <w:sz w:val="32"/>
          <w:szCs w:val="32"/>
        </w:rPr>
        <w:br w:type="page"/>
      </w:r>
    </w:p>
    <w:p>
      <w:pPr>
        <w:snapToGrid w:val="0"/>
        <w:spacing w:line="560" w:lineRule="exact"/>
        <w:jc w:val="center"/>
        <w:rPr>
          <w:rFonts w:ascii="方正小标宋简体" w:eastAsia="方正小标宋简体" w:cs="宋体" w:hint="eastAsia"/>
          <w:bCs/>
          <w:color w:val="000000"/>
          <w:kern w:val="0"/>
          <w:sz w:val="44"/>
          <w:szCs w:val="44"/>
        </w:rPr>
      </w:pPr>
      <w:r>
        <w:rPr>
          <w:rFonts w:ascii="方正小标宋简体" w:eastAsia="方正小标宋简体" w:cs="宋体" w:hint="eastAsia"/>
          <w:bCs/>
          <w:color w:val="000000"/>
          <w:kern w:val="0"/>
          <w:sz w:val="44"/>
          <w:szCs w:val="44"/>
        </w:rPr>
        <w:t>国家知识产权示范企业申报书（表二）</w:t>
      </w:r>
    </w:p>
    <w:tbl>
      <w:tblPr>
        <w:jc w:val="cente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13"/>
        <w:gridCol w:w="1620"/>
        <w:gridCol w:w="3780"/>
        <w:gridCol w:w="2880"/>
      </w:tblGrid>
      <w:tr>
        <w:trPr>
          <w:trHeight w:val="285"/>
        </w:trPr>
        <w:tc>
          <w:tcPr>
            <w:tcW w:w="1413" w:type="dxa"/>
            <w:shd w:val="clear" w:color="auto" w:fill="C0C0C0"/>
            <w:vAlign w:val="center"/>
          </w:tcPr>
          <w:p>
            <w:pPr>
              <w:jc w:val="center"/>
              <w:rPr>
                <w:rFonts w:ascii="仿宋_GB2312" w:eastAsia="仿宋_GB2312" w:cs="宋体" w:hint="eastAsia"/>
                <w:b/>
                <w:bCs/>
                <w:color w:val="000000"/>
                <w:kern w:val="0"/>
                <w:szCs w:val="21"/>
              </w:rPr>
            </w:pPr>
            <w:r>
              <w:rPr>
                <w:rFonts w:ascii="仿宋_GB2312" w:eastAsia="仿宋_GB2312" w:cs="宋体" w:hint="eastAsia"/>
                <w:b/>
                <w:bCs/>
                <w:color w:val="000000"/>
                <w:kern w:val="0"/>
                <w:szCs w:val="21"/>
              </w:rPr>
              <w:t>一级指标及权重</w:t>
            </w:r>
          </w:p>
        </w:tc>
        <w:tc>
          <w:tcPr>
            <w:tcW w:w="1620" w:type="dxa"/>
            <w:shd w:val="clear" w:color="auto" w:fill="C0C0C0"/>
            <w:vAlign w:val="center"/>
          </w:tcPr>
          <w:p>
            <w:pPr>
              <w:jc w:val="center"/>
              <w:rPr>
                <w:rFonts w:ascii="仿宋_GB2312" w:eastAsia="仿宋_GB2312" w:cs="宋体" w:hint="eastAsia"/>
                <w:b/>
                <w:bCs/>
                <w:color w:val="000000"/>
                <w:kern w:val="0"/>
                <w:szCs w:val="21"/>
              </w:rPr>
            </w:pPr>
            <w:r>
              <w:rPr>
                <w:rFonts w:ascii="仿宋_GB2312" w:eastAsia="仿宋_GB2312" w:cs="宋体" w:hint="eastAsia"/>
                <w:b/>
                <w:bCs/>
                <w:color w:val="000000"/>
                <w:kern w:val="0"/>
                <w:szCs w:val="21"/>
              </w:rPr>
              <w:t>二级指标</w:t>
            </w:r>
          </w:p>
        </w:tc>
        <w:tc>
          <w:tcPr>
            <w:tcW w:w="3780" w:type="dxa"/>
            <w:shd w:val="clear" w:color="auto" w:fill="C0C0C0"/>
            <w:vAlign w:val="center"/>
          </w:tcPr>
          <w:p>
            <w:pPr>
              <w:jc w:val="center"/>
              <w:rPr>
                <w:rFonts w:ascii="仿宋_GB2312" w:eastAsia="仿宋_GB2312" w:cs="宋体" w:hint="eastAsia"/>
                <w:b/>
                <w:bCs/>
                <w:color w:val="000000"/>
                <w:kern w:val="0"/>
                <w:szCs w:val="21"/>
              </w:rPr>
            </w:pPr>
            <w:r>
              <w:rPr>
                <w:rFonts w:ascii="仿宋_GB2312" w:eastAsia="仿宋_GB2312" w:cs="宋体" w:hint="eastAsia"/>
                <w:b/>
                <w:bCs/>
                <w:color w:val="000000"/>
                <w:kern w:val="0"/>
                <w:szCs w:val="21"/>
              </w:rPr>
              <w:t>考察要点</w:t>
            </w:r>
          </w:p>
        </w:tc>
        <w:tc>
          <w:tcPr>
            <w:tcW w:w="2880" w:type="dxa"/>
            <w:shd w:val="clear" w:color="auto" w:fill="C0C0C0"/>
            <w:vAlign w:val="center"/>
          </w:tcPr>
          <w:p>
            <w:pPr>
              <w:jc w:val="center"/>
              <w:rPr>
                <w:rFonts w:ascii="仿宋_GB2312" w:eastAsia="仿宋_GB2312" w:cs="宋体" w:hint="eastAsia"/>
                <w:b/>
                <w:bCs/>
                <w:color w:val="000000"/>
                <w:kern w:val="0"/>
                <w:szCs w:val="21"/>
              </w:rPr>
            </w:pPr>
            <w:r>
              <w:rPr>
                <w:rFonts w:ascii="仿宋_GB2312" w:eastAsia="仿宋_GB2312" w:cs="宋体" w:hint="eastAsia"/>
                <w:b/>
                <w:bCs/>
                <w:color w:val="000000"/>
                <w:kern w:val="0"/>
                <w:szCs w:val="21"/>
              </w:rPr>
              <w:t>基本情况</w:t>
            </w:r>
          </w:p>
        </w:tc>
      </w:tr>
      <w:tr>
        <w:trPr>
          <w:trHeight w:val="746"/>
        </w:trPr>
        <w:tc>
          <w:tcPr>
            <w:tcW w:w="1413" w:type="dxa"/>
            <w:vMerge w:val="restart"/>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知识产权战略管理能力</w:t>
            </w:r>
          </w:p>
        </w:tc>
        <w:tc>
          <w:tcPr>
            <w:tcW w:w="1620" w:type="dxa"/>
            <w:vMerge w:val="restart"/>
            <w:shd w:val="clear" w:color="auto" w:fill="auto"/>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1.战略层面规划知识产权工作</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1.建立了与企业整体发展相匹配的知识产权战略规划。</w:t>
            </w:r>
          </w:p>
        </w:tc>
        <w:tc>
          <w:tcPr>
            <w:tcW w:w="2880" w:type="dxa"/>
            <w:vAlign w:val="center"/>
          </w:tcPr>
          <w:p>
            <w:pPr>
              <w:jc w:val="center"/>
              <w:rPr>
                <w:rFonts w:ascii="仿宋_GB2312" w:eastAsia="仿宋_GB2312" w:cs="宋体" w:hint="eastAsia"/>
                <w:color w:val="000000"/>
                <w:kern w:val="0"/>
                <w:szCs w:val="21"/>
              </w:rPr>
            </w:pPr>
          </w:p>
        </w:tc>
      </w:tr>
      <w:tr>
        <w:trPr>
          <w:trHeight w:val="607"/>
        </w:trPr>
        <w:tc>
          <w:tcPr>
            <w:tcW w:w="1413" w:type="dxa"/>
            <w:vMerge/>
            <w:vAlign w:val="center"/>
          </w:tcPr>
          <w:p/>
        </w:tc>
        <w:tc>
          <w:tcPr>
            <w:tcW w:w="1620" w:type="dxa"/>
            <w:vMerge/>
            <w:shd w:val="clear" w:color="auto" w:fill="auto"/>
            <w:vAlign w:val="center"/>
          </w:tcP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2．建立了专利导航决策机制，引导企业重大决策。</w:t>
            </w:r>
          </w:p>
        </w:tc>
        <w:tc>
          <w:tcPr>
            <w:tcW w:w="2880" w:type="dxa"/>
            <w:vAlign w:val="center"/>
          </w:tcPr>
          <w:p>
            <w:pPr>
              <w:jc w:val="center"/>
              <w:rPr>
                <w:rFonts w:ascii="仿宋_GB2312" w:eastAsia="仿宋_GB2312" w:cs="宋体" w:hint="eastAsia"/>
                <w:color w:val="000000"/>
                <w:kern w:val="0"/>
                <w:szCs w:val="21"/>
              </w:rPr>
            </w:pPr>
          </w:p>
        </w:tc>
      </w:tr>
      <w:tr>
        <w:trPr>
          <w:trHeight w:val="395"/>
        </w:trPr>
        <w:tc>
          <w:tcPr>
            <w:tcW w:w="1413" w:type="dxa"/>
            <w:vMerge/>
            <w:vAlign w:val="center"/>
          </w:tcPr>
          <w:p/>
        </w:tc>
        <w:tc>
          <w:tcPr>
            <w:tcW w:w="1620" w:type="dxa"/>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2.较高的知识产权信息化管理水平</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3. 具有企业专利数据库，建立知识产权信息化管理平台，有效管理企业知识产权。</w:t>
            </w:r>
          </w:p>
        </w:tc>
        <w:tc>
          <w:tcPr>
            <w:tcW w:w="2880" w:type="dxa"/>
            <w:vAlign w:val="center"/>
          </w:tcPr>
          <w:p>
            <w:pPr>
              <w:jc w:val="center"/>
              <w:rPr>
                <w:rFonts w:ascii="仿宋_GB2312" w:eastAsia="仿宋_GB2312" w:cs="宋体" w:hint="eastAsia"/>
                <w:color w:val="000000"/>
                <w:kern w:val="0"/>
                <w:szCs w:val="21"/>
              </w:rPr>
            </w:pPr>
          </w:p>
        </w:tc>
      </w:tr>
      <w:tr>
        <w:trPr>
          <w:trHeight w:val="570"/>
        </w:trPr>
        <w:tc>
          <w:tcPr>
            <w:tcW w:w="1413" w:type="dxa"/>
            <w:vMerge w:val="restart"/>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知识产权创造能力</w:t>
            </w:r>
          </w:p>
        </w:tc>
        <w:tc>
          <w:tcPr>
            <w:tcW w:w="1620" w:type="dxa"/>
            <w:vMerge w:val="restart"/>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3.具有行业优势的专利全球布局</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4.建立海外专利布局机制并实施。</w:t>
            </w:r>
          </w:p>
        </w:tc>
        <w:tc>
          <w:tcPr>
            <w:tcW w:w="2880" w:type="dxa"/>
            <w:vAlign w:val="center"/>
          </w:tcPr>
          <w:p>
            <w:pPr>
              <w:jc w:val="center"/>
              <w:rPr>
                <w:rFonts w:ascii="仿宋_GB2312" w:eastAsia="仿宋_GB2312" w:cs="宋体" w:hint="eastAsia"/>
                <w:color w:val="000000"/>
                <w:kern w:val="0"/>
                <w:szCs w:val="21"/>
              </w:rPr>
            </w:pPr>
          </w:p>
        </w:tc>
      </w:tr>
      <w:tr>
        <w:trPr>
          <w:trHeight w:val="570"/>
        </w:trPr>
        <w:tc>
          <w:tcPr>
            <w:tcW w:w="1413" w:type="dxa"/>
            <w:vMerge/>
            <w:vAlign w:val="center"/>
          </w:tcPr>
          <w:p/>
        </w:tc>
        <w:tc>
          <w:tcPr>
            <w:tcW w:w="1620" w:type="dxa"/>
            <w:vMerge/>
            <w:vAlign w:val="center"/>
          </w:tcP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5.在其他国家或地区的有效专利或其他知识产权储备在本行业内名列前茅。</w:t>
            </w:r>
          </w:p>
        </w:tc>
        <w:tc>
          <w:tcPr>
            <w:tcW w:w="2880" w:type="dxa"/>
            <w:vAlign w:val="center"/>
          </w:tcPr>
          <w:p>
            <w:pPr>
              <w:jc w:val="center"/>
              <w:rPr>
                <w:rFonts w:ascii="仿宋_GB2312" w:eastAsia="仿宋_GB2312" w:cs="宋体" w:hint="eastAsia"/>
                <w:color w:val="000000"/>
                <w:kern w:val="0"/>
                <w:szCs w:val="21"/>
              </w:rPr>
            </w:pPr>
          </w:p>
        </w:tc>
      </w:tr>
      <w:tr>
        <w:trPr>
          <w:trHeight w:val="824"/>
        </w:trPr>
        <w:tc>
          <w:tcPr>
            <w:tcW w:w="1413" w:type="dxa"/>
            <w:vMerge/>
            <w:vAlign w:val="center"/>
          </w:tcPr>
          <w:p/>
        </w:tc>
        <w:tc>
          <w:tcPr>
            <w:tcW w:w="1620" w:type="dxa"/>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4.科学的知识产权激励机制</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6. 建立知识产权入股、股权和分红权等形式的激励机制。</w:t>
            </w:r>
          </w:p>
        </w:tc>
        <w:tc>
          <w:tcPr>
            <w:tcW w:w="2880" w:type="dxa"/>
            <w:vAlign w:val="center"/>
          </w:tcPr>
          <w:p>
            <w:pPr>
              <w:jc w:val="center"/>
              <w:rPr>
                <w:rFonts w:ascii="仿宋_GB2312" w:eastAsia="仿宋_GB2312" w:cs="宋体" w:hint="eastAsia"/>
                <w:color w:val="000000"/>
                <w:kern w:val="0"/>
                <w:szCs w:val="21"/>
              </w:rPr>
            </w:pPr>
          </w:p>
        </w:tc>
      </w:tr>
      <w:tr>
        <w:trPr>
          <w:trHeight w:val="776"/>
        </w:trPr>
        <w:tc>
          <w:tcPr>
            <w:tcW w:w="1413" w:type="dxa"/>
            <w:vMerge w:val="restart"/>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知识产权运营能力</w:t>
            </w:r>
          </w:p>
        </w:tc>
        <w:tc>
          <w:tcPr>
            <w:tcW w:w="1620" w:type="dxa"/>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5.专利运营机制有效运行</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7.依托专利分析等手段，建立专利运营机制。</w:t>
            </w:r>
          </w:p>
        </w:tc>
        <w:tc>
          <w:tcPr>
            <w:tcW w:w="2880" w:type="dxa"/>
            <w:vAlign w:val="center"/>
          </w:tcPr>
          <w:p>
            <w:pPr>
              <w:jc w:val="center"/>
              <w:rPr>
                <w:rFonts w:ascii="仿宋_GB2312" w:eastAsia="仿宋_GB2312" w:cs="宋体" w:hint="eastAsia"/>
                <w:color w:val="000000"/>
                <w:kern w:val="0"/>
                <w:szCs w:val="21"/>
              </w:rPr>
            </w:pPr>
          </w:p>
        </w:tc>
      </w:tr>
      <w:tr>
        <w:trPr>
          <w:trHeight w:val="364"/>
        </w:trPr>
        <w:tc>
          <w:tcPr>
            <w:tcW w:w="1413" w:type="dxa"/>
            <w:vMerge/>
            <w:vAlign w:val="center"/>
          </w:tcPr>
          <w:p/>
        </w:tc>
        <w:tc>
          <w:tcPr>
            <w:tcW w:w="1620" w:type="dxa"/>
            <w:vMerge w:val="restart"/>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6.知识产权与资本市场的对接</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8.专利产品销售额占企业产品总销售额的比例较大。</w:t>
            </w:r>
          </w:p>
        </w:tc>
        <w:tc>
          <w:tcPr>
            <w:tcW w:w="2880" w:type="dxa"/>
            <w:vAlign w:val="center"/>
          </w:tcPr>
          <w:p>
            <w:pPr>
              <w:jc w:val="center"/>
              <w:rPr>
                <w:rFonts w:ascii="仿宋_GB2312" w:eastAsia="仿宋_GB2312" w:cs="宋体" w:hint="eastAsia"/>
                <w:color w:val="000000"/>
                <w:kern w:val="0"/>
                <w:szCs w:val="21"/>
              </w:rPr>
            </w:pPr>
          </w:p>
        </w:tc>
      </w:tr>
      <w:tr>
        <w:trPr>
          <w:trHeight w:val="363"/>
        </w:trPr>
        <w:tc>
          <w:tcPr>
            <w:tcW w:w="1413" w:type="dxa"/>
            <w:vMerge/>
            <w:vAlign w:val="center"/>
          </w:tcPr>
          <w:p/>
        </w:tc>
        <w:tc>
          <w:tcPr>
            <w:tcW w:w="1620" w:type="dxa"/>
            <w:vMerge/>
            <w:vAlign w:val="center"/>
          </w:tcP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9.通过知识产权转让、许可等各种途径，拓宽企业知识产权价值实现渠道。</w:t>
            </w:r>
          </w:p>
        </w:tc>
        <w:tc>
          <w:tcPr>
            <w:tcW w:w="2880" w:type="dxa"/>
            <w:vAlign w:val="center"/>
          </w:tcPr>
          <w:p>
            <w:pPr>
              <w:jc w:val="center"/>
              <w:rPr>
                <w:rFonts w:ascii="仿宋_GB2312" w:eastAsia="仿宋_GB2312" w:cs="宋体" w:hint="eastAsia"/>
                <w:color w:val="000000"/>
                <w:kern w:val="0"/>
                <w:szCs w:val="21"/>
              </w:rPr>
            </w:pPr>
          </w:p>
        </w:tc>
      </w:tr>
      <w:tr>
        <w:trPr>
          <w:trHeight w:val="338"/>
        </w:trPr>
        <w:tc>
          <w:tcPr>
            <w:tcW w:w="1413" w:type="dxa"/>
            <w:vMerge/>
            <w:vAlign w:val="center"/>
          </w:tcPr>
          <w:p/>
        </w:tc>
        <w:tc>
          <w:tcPr>
            <w:tcW w:w="1620" w:type="dxa"/>
            <w:vMerge w:val="restart"/>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7.知识产权产业协作积极开展</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10.牵头组建或加入专利运用协同体，实现协同发展。</w:t>
            </w:r>
          </w:p>
        </w:tc>
        <w:tc>
          <w:tcPr>
            <w:tcW w:w="2880" w:type="dxa"/>
            <w:vAlign w:val="center"/>
          </w:tcPr>
          <w:p>
            <w:pPr>
              <w:jc w:val="center"/>
              <w:rPr>
                <w:rFonts w:ascii="仿宋_GB2312" w:eastAsia="仿宋_GB2312" w:cs="宋体" w:hint="eastAsia"/>
                <w:color w:val="000000"/>
                <w:kern w:val="0"/>
                <w:szCs w:val="21"/>
              </w:rPr>
            </w:pPr>
          </w:p>
        </w:tc>
      </w:tr>
      <w:tr>
        <w:trPr>
          <w:trHeight w:val="553"/>
        </w:trPr>
        <w:tc>
          <w:tcPr>
            <w:tcW w:w="1413" w:type="dxa"/>
            <w:vMerge/>
            <w:vAlign w:val="center"/>
          </w:tcPr>
          <w:p/>
        </w:tc>
        <w:tc>
          <w:tcPr>
            <w:tcW w:w="1620" w:type="dxa"/>
            <w:vMerge/>
            <w:vAlign w:val="center"/>
          </w:tcP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11.牵头组建或加入专利联盟。</w:t>
            </w:r>
          </w:p>
        </w:tc>
        <w:tc>
          <w:tcPr>
            <w:tcW w:w="2880" w:type="dxa"/>
            <w:vAlign w:val="center"/>
          </w:tcPr>
          <w:p>
            <w:pPr>
              <w:jc w:val="center"/>
              <w:rPr>
                <w:rFonts w:ascii="仿宋_GB2312" w:eastAsia="仿宋_GB2312" w:cs="宋体" w:hint="eastAsia"/>
                <w:color w:val="000000"/>
                <w:kern w:val="0"/>
                <w:szCs w:val="21"/>
              </w:rPr>
            </w:pPr>
          </w:p>
        </w:tc>
      </w:tr>
      <w:tr>
        <w:trPr>
          <w:trHeight w:val="762"/>
        </w:trPr>
        <w:tc>
          <w:tcPr>
            <w:tcW w:w="1413" w:type="dxa"/>
            <w:vMerge/>
            <w:vAlign w:val="center"/>
          </w:tcPr>
          <w:p/>
        </w:tc>
        <w:tc>
          <w:tcPr>
            <w:tcW w:w="1620" w:type="dxa"/>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8.积极参与知识产权标准化</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12.参与国际标准制定。</w:t>
            </w:r>
          </w:p>
        </w:tc>
        <w:tc>
          <w:tcPr>
            <w:tcW w:w="2880" w:type="dxa"/>
            <w:vAlign w:val="center"/>
          </w:tcPr>
          <w:p>
            <w:pPr>
              <w:jc w:val="center"/>
              <w:rPr>
                <w:rFonts w:ascii="仿宋_GB2312" w:eastAsia="仿宋_GB2312" w:cs="宋体" w:hint="eastAsia"/>
                <w:color w:val="000000"/>
                <w:kern w:val="0"/>
                <w:szCs w:val="21"/>
              </w:rPr>
            </w:pPr>
          </w:p>
        </w:tc>
      </w:tr>
      <w:tr>
        <w:trPr>
          <w:trHeight w:val="465"/>
        </w:trPr>
        <w:tc>
          <w:tcPr>
            <w:tcW w:w="1413" w:type="dxa"/>
            <w:vMerge w:val="restart"/>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知识产权维权保护能力</w:t>
            </w:r>
          </w:p>
        </w:tc>
        <w:tc>
          <w:tcPr>
            <w:tcW w:w="1620" w:type="dxa"/>
            <w:vMerge w:val="restart"/>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9.有效管控知识产权风险</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13.建立贯穿生产经营全流程的知识产权侵权预警机制和风险监控机制。</w:t>
            </w:r>
          </w:p>
        </w:tc>
        <w:tc>
          <w:tcPr>
            <w:tcW w:w="2880" w:type="dxa"/>
            <w:vAlign w:val="center"/>
          </w:tcPr>
          <w:p>
            <w:pPr>
              <w:jc w:val="center"/>
              <w:rPr>
                <w:rFonts w:ascii="仿宋_GB2312" w:eastAsia="仿宋_GB2312" w:cs="宋体" w:hint="eastAsia"/>
                <w:color w:val="000000"/>
                <w:kern w:val="0"/>
                <w:szCs w:val="21"/>
              </w:rPr>
            </w:pPr>
          </w:p>
        </w:tc>
      </w:tr>
      <w:tr>
        <w:trPr>
          <w:trHeight w:val="465"/>
        </w:trPr>
        <w:tc>
          <w:tcPr>
            <w:tcW w:w="1413" w:type="dxa"/>
            <w:vMerge/>
            <w:vAlign w:val="center"/>
          </w:tcPr>
          <w:p/>
        </w:tc>
        <w:tc>
          <w:tcPr>
            <w:tcW w:w="1620" w:type="dxa"/>
            <w:vMerge/>
            <w:vAlign w:val="center"/>
          </w:tcP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14.定期开展知识产权风险测评。</w:t>
            </w:r>
          </w:p>
        </w:tc>
        <w:tc>
          <w:tcPr>
            <w:tcW w:w="2880" w:type="dxa"/>
            <w:vAlign w:val="center"/>
          </w:tcPr>
          <w:p>
            <w:pPr>
              <w:jc w:val="center"/>
              <w:rPr>
                <w:rFonts w:ascii="仿宋_GB2312" w:eastAsia="仿宋_GB2312" w:cs="宋体" w:hint="eastAsia"/>
                <w:color w:val="000000"/>
                <w:kern w:val="0"/>
                <w:szCs w:val="21"/>
              </w:rPr>
            </w:pPr>
          </w:p>
        </w:tc>
      </w:tr>
      <w:tr>
        <w:trPr>
          <w:trHeight w:val="668"/>
        </w:trPr>
        <w:tc>
          <w:tcPr>
            <w:tcW w:w="1413" w:type="dxa"/>
            <w:vMerge/>
            <w:vAlign w:val="center"/>
          </w:tcPr>
          <w:p/>
        </w:tc>
        <w:tc>
          <w:tcPr>
            <w:tcW w:w="1620" w:type="dxa"/>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10.尊重他人知识产权</w:t>
            </w:r>
          </w:p>
        </w:tc>
        <w:tc>
          <w:tcPr>
            <w:tcW w:w="3780" w:type="dxa"/>
            <w:vAlign w:val="center"/>
          </w:tcPr>
          <w:p>
            <w:pPr>
              <w:tabs>
                <w:tab w:val="left" w:pos="2157"/>
              </w:tabs>
              <w:rPr>
                <w:rFonts w:ascii="仿宋_GB2312" w:eastAsia="仿宋_GB2312" w:cs="宋体" w:hint="eastAsia"/>
                <w:color w:val="000000"/>
                <w:kern w:val="0"/>
                <w:szCs w:val="21"/>
              </w:rPr>
            </w:pPr>
            <w:r>
              <w:rPr>
                <w:rFonts w:ascii="仿宋_GB2312" w:eastAsia="仿宋_GB2312" w:cs="宋体" w:hint="eastAsia"/>
                <w:color w:val="000000"/>
                <w:kern w:val="0"/>
                <w:szCs w:val="21"/>
              </w:rPr>
              <w:t>15.通过开展知识产权尽职调查、获得知识产权许可等方式，避免主观恶意侵犯他人知识产权。</w:t>
            </w:r>
          </w:p>
        </w:tc>
        <w:tc>
          <w:tcPr>
            <w:tcW w:w="2880" w:type="dxa"/>
            <w:vAlign w:val="center"/>
          </w:tcPr>
          <w:p>
            <w:pPr>
              <w:jc w:val="center"/>
              <w:rPr>
                <w:rFonts w:ascii="仿宋_GB2312" w:eastAsia="仿宋_GB2312" w:cs="宋体" w:hint="eastAsia"/>
                <w:color w:val="000000"/>
                <w:kern w:val="0"/>
                <w:szCs w:val="21"/>
              </w:rPr>
            </w:pPr>
          </w:p>
        </w:tc>
      </w:tr>
      <w:tr>
        <w:trPr>
          <w:trHeight w:val="937"/>
        </w:trPr>
        <w:tc>
          <w:tcPr>
            <w:tcW w:w="1413" w:type="dxa"/>
            <w:vMerge/>
            <w:vAlign w:val="center"/>
          </w:tcPr>
          <w:p/>
        </w:tc>
        <w:tc>
          <w:tcPr>
            <w:tcW w:w="1620" w:type="dxa"/>
            <w:vAlign w:val="center"/>
          </w:tcPr>
          <w:p>
            <w:pPr>
              <w:jc w:val="center"/>
              <w:rPr>
                <w:rFonts w:ascii="仿宋_GB2312" w:eastAsia="仿宋_GB2312" w:cs="宋体" w:hint="eastAsia"/>
                <w:b/>
                <w:color w:val="000000"/>
                <w:kern w:val="0"/>
                <w:szCs w:val="21"/>
              </w:rPr>
            </w:pPr>
            <w:r>
              <w:rPr>
                <w:rFonts w:ascii="仿宋_GB2312" w:eastAsia="仿宋_GB2312" w:cs="宋体" w:hint="eastAsia"/>
                <w:b/>
                <w:color w:val="000000"/>
                <w:kern w:val="0"/>
                <w:szCs w:val="21"/>
              </w:rPr>
              <w:t>11.参与行业性专利纠纷处理</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16.推动建立行业知识产权维权协作机制，参与行业专利纠纷处置。</w:t>
            </w:r>
          </w:p>
        </w:tc>
        <w:tc>
          <w:tcPr>
            <w:tcW w:w="2880" w:type="dxa"/>
            <w:vAlign w:val="center"/>
          </w:tcPr>
          <w:p>
            <w:pPr>
              <w:jc w:val="center"/>
              <w:rPr>
                <w:rFonts w:ascii="仿宋_GB2312" w:eastAsia="仿宋_GB2312" w:cs="宋体" w:hint="eastAsia"/>
                <w:color w:val="000000"/>
                <w:kern w:val="0"/>
                <w:szCs w:val="21"/>
              </w:rPr>
            </w:pPr>
          </w:p>
        </w:tc>
      </w:tr>
      <w:tr>
        <w:trPr>
          <w:trHeight w:val="654"/>
        </w:trPr>
        <w:tc>
          <w:tcPr>
            <w:tcW w:w="1413" w:type="dxa"/>
            <w:vMerge/>
            <w:vAlign w:val="center"/>
          </w:tcPr>
          <w:p/>
        </w:tc>
        <w:tc>
          <w:tcPr>
            <w:tcW w:w="1620" w:type="dxa"/>
            <w:vAlign w:val="center"/>
          </w:tcPr>
          <w:p>
            <w:pPr>
              <w:jc w:val="center"/>
              <w:rPr>
                <w:rFonts w:ascii="仿宋_GB2312" w:eastAsia="仿宋_GB2312" w:cs="宋体" w:hint="eastAsia"/>
                <w:b/>
                <w:color w:val="000000"/>
                <w:spacing w:val="-12"/>
                <w:kern w:val="0"/>
                <w:szCs w:val="21"/>
              </w:rPr>
            </w:pPr>
            <w:r>
              <w:rPr>
                <w:rFonts w:ascii="仿宋_GB2312" w:eastAsia="仿宋_GB2312" w:cs="宋体" w:hint="eastAsia"/>
                <w:b/>
                <w:color w:val="000000"/>
                <w:spacing w:val="-12"/>
                <w:kern w:val="0"/>
                <w:szCs w:val="21"/>
              </w:rPr>
              <w:t>12. 解决国内外知识产权争端</w:t>
            </w:r>
          </w:p>
        </w:tc>
        <w:tc>
          <w:tcPr>
            <w:tcW w:w="3780" w:type="dxa"/>
            <w:vAlign w:val="center"/>
          </w:tcPr>
          <w:p>
            <w:pPr>
              <w:rPr>
                <w:rFonts w:ascii="仿宋_GB2312" w:eastAsia="仿宋_GB2312" w:cs="宋体" w:hint="eastAsia"/>
                <w:color w:val="000000"/>
                <w:kern w:val="0"/>
                <w:szCs w:val="21"/>
              </w:rPr>
            </w:pPr>
            <w:r>
              <w:rPr>
                <w:rFonts w:ascii="仿宋_GB2312" w:eastAsia="仿宋_GB2312" w:cs="宋体" w:hint="eastAsia"/>
                <w:color w:val="000000"/>
                <w:kern w:val="0"/>
                <w:szCs w:val="21"/>
              </w:rPr>
              <w:t>17.编制并适时调整企业知识产权争端解决预案。</w:t>
            </w:r>
          </w:p>
        </w:tc>
        <w:tc>
          <w:tcPr>
            <w:tcW w:w="2880" w:type="dxa"/>
            <w:vAlign w:val="center"/>
          </w:tcPr>
          <w:p>
            <w:pPr>
              <w:jc w:val="center"/>
              <w:rPr>
                <w:rFonts w:ascii="仿宋_GB2312" w:eastAsia="仿宋_GB2312" w:cs="宋体" w:hint="eastAsia"/>
                <w:color w:val="000000"/>
                <w:kern w:val="0"/>
                <w:szCs w:val="21"/>
              </w:rPr>
            </w:pPr>
          </w:p>
        </w:tc>
      </w:tr>
    </w:tbl>
    <w:p>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Application>
  <Pages>7</Pages>
  <Words>2818</Words>
  <Characters>2975</Characters>
  <Lines>585</Lines>
  <Paragraphs>272</Paragraphs>
  <CharactersWithSpaces>4021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刘莹莹</dc:creator>
  <cp:lastModifiedBy>xmipocjq</cp:lastModifiedBy>
  <cp:revision>1</cp:revision>
  <dcterms:created xsi:type="dcterms:W3CDTF">2016-07-12T09:17:00Z</dcterms:created>
</cp:coreProperties>
</file>